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149" w:type="dxa"/>
        <w:tblCellSpacing w:w="0" w:type="dxa"/>
        <w:tblInd w:w="-13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15"/>
        <w:gridCol w:w="2430"/>
        <w:gridCol w:w="1215"/>
        <w:gridCol w:w="2551"/>
        <w:gridCol w:w="1215"/>
        <w:gridCol w:w="3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信息名称：</w:t>
            </w:r>
          </w:p>
        </w:tc>
        <w:tc>
          <w:tcPr>
            <w:tcW w:w="10934" w:type="dxa"/>
            <w:gridSpan w:val="5"/>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普通高等学校辅导员队伍建设规定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信息索引：</w:t>
            </w:r>
          </w:p>
        </w:tc>
        <w:tc>
          <w:tcPr>
            <w:tcW w:w="2430" w:type="dxa"/>
            <w:shd w:val="clear"/>
            <w:vAlign w:val="top"/>
          </w:tcPr>
          <w:p>
            <w:pPr>
              <w:keepNext w:val="0"/>
              <w:keepLines w:val="0"/>
              <w:widowControl/>
              <w:suppressLineNumbers w:val="0"/>
              <w:spacing w:line="375"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360A02-03-2017-0027-1</w:t>
            </w:r>
          </w:p>
        </w:tc>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生成日期：</w:t>
            </w:r>
          </w:p>
        </w:tc>
        <w:tc>
          <w:tcPr>
            <w:tcW w:w="2551" w:type="dxa"/>
            <w:shd w:val="clear"/>
            <w:vAlign w:val="top"/>
          </w:tcPr>
          <w:p>
            <w:pPr>
              <w:keepNext w:val="0"/>
              <w:keepLines w:val="0"/>
              <w:widowControl/>
              <w:suppressLineNumbers w:val="0"/>
              <w:spacing w:line="375"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2017-09-29</w:t>
            </w:r>
          </w:p>
        </w:tc>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发文机构：</w:t>
            </w:r>
          </w:p>
        </w:tc>
        <w:tc>
          <w:tcPr>
            <w:tcW w:w="3523" w:type="dxa"/>
            <w:shd w:val="clear"/>
            <w:vAlign w:val="top"/>
          </w:tcPr>
          <w:p>
            <w:pPr>
              <w:keepNext w:val="0"/>
              <w:keepLines w:val="0"/>
              <w:widowControl/>
              <w:suppressLineNumbers w:val="0"/>
              <w:spacing w:line="375"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发文字号：</w:t>
            </w:r>
          </w:p>
        </w:tc>
        <w:tc>
          <w:tcPr>
            <w:tcW w:w="2430" w:type="dxa"/>
            <w:shd w:val="clear"/>
            <w:vAlign w:val="top"/>
          </w:tcPr>
          <w:p>
            <w:pPr>
              <w:keepNext w:val="0"/>
              <w:keepLines w:val="0"/>
              <w:widowControl/>
              <w:suppressLineNumbers w:val="0"/>
              <w:spacing w:line="375"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第43号</w:t>
            </w:r>
          </w:p>
        </w:tc>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信息类别：</w:t>
            </w:r>
          </w:p>
        </w:tc>
        <w:tc>
          <w:tcPr>
            <w:tcW w:w="7289" w:type="dxa"/>
            <w:gridSpan w:val="3"/>
            <w:shd w:val="clear"/>
            <w:vAlign w:val="top"/>
          </w:tcPr>
          <w:p>
            <w:pPr>
              <w:keepNext w:val="0"/>
              <w:keepLines w:val="0"/>
              <w:widowControl/>
              <w:suppressLineNumbers w:val="0"/>
              <w:spacing w:line="375"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部门规章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21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内容概述：</w:t>
            </w:r>
          </w:p>
        </w:tc>
        <w:tc>
          <w:tcPr>
            <w:tcW w:w="10934" w:type="dxa"/>
            <w:gridSpan w:val="5"/>
            <w:shd w:val="clear"/>
            <w:vAlign w:val="top"/>
          </w:tcPr>
          <w:p>
            <w:pPr>
              <w:keepNext w:val="0"/>
              <w:keepLines w:val="0"/>
              <w:widowControl/>
              <w:suppressLineNumbers w:val="0"/>
              <w:spacing w:line="375"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《普通高等学校辅导员队伍建设规定》已于2017年8月31日经教育部2017年第32次部长办公会议修订通过。现将修订后的 《普通高等学校辅导员队伍建设规定》公布，自2017年10月1 日起施行。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vanish/>
          <w:color w:val="auto"/>
        </w:rPr>
      </w:pPr>
      <w:r>
        <w:rPr>
          <w:rFonts w:ascii="宋体" w:hAnsi="宋体" w:eastAsia="宋体" w:cs="宋体"/>
          <w:vanish/>
          <w:color w:val="auto"/>
          <w:kern w:val="0"/>
          <w:sz w:val="24"/>
          <w:szCs w:val="24"/>
          <w:bdr w:val="none" w:color="auto" w:sz="0" w:space="0"/>
          <w:shd w:val="clear" w:fill="FFFFFF"/>
          <w:lang w:val="en-US" w:eastAsia="zh-CN" w:bidi="ar"/>
        </w:rPr>
        <w:t>信息公开_部令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vanish/>
          <w:color w:val="auto"/>
          <w:sz w:val="24"/>
          <w:szCs w:val="24"/>
        </w:rPr>
      </w:pPr>
      <w:r>
        <w:rPr>
          <w:rFonts w:hint="eastAsia" w:ascii="微软雅黑" w:hAnsi="微软雅黑" w:eastAsia="微软雅黑" w:cs="微软雅黑"/>
          <w:b/>
          <w:vanish/>
          <w:color w:val="auto"/>
          <w:sz w:val="24"/>
          <w:szCs w:val="24"/>
          <w:bdr w:val="none" w:color="auto" w:sz="0" w:space="0"/>
          <w:shd w:val="clear" w:fill="FFFFFF"/>
        </w:rPr>
        <w:t>第43号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vanish/>
          <w:color w:val="auto"/>
          <w:sz w:val="30"/>
          <w:szCs w:val="30"/>
        </w:rPr>
      </w:pPr>
      <w:r>
        <w:rPr>
          <w:rFonts w:hint="eastAsia" w:ascii="微软雅黑" w:hAnsi="微软雅黑" w:eastAsia="微软雅黑" w:cs="微软雅黑"/>
          <w:b/>
          <w:vanish/>
          <w:color w:val="auto"/>
          <w:sz w:val="30"/>
          <w:szCs w:val="30"/>
          <w:bdr w:val="none" w:color="auto" w:sz="0" w:space="0"/>
          <w:shd w:val="clear" w:fill="FFFFFF"/>
        </w:rPr>
        <w:t>普通高等学校辅导员队伍建设规定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bdr w:val="none" w:color="auto" w:sz="0" w:space="0"/>
          <w:shd w:val="clear" w:fill="FFFFFF"/>
        </w:rPr>
        <w:t>第</w:t>
      </w:r>
      <w:bookmarkStart w:id="0" w:name="_GoBack"/>
      <w:bookmarkEnd w:id="0"/>
      <w:r>
        <w:rPr>
          <w:rFonts w:hint="eastAsia" w:ascii="微软雅黑" w:hAnsi="微软雅黑" w:eastAsia="微软雅黑" w:cs="微软雅黑"/>
          <w:b/>
          <w:color w:val="auto"/>
          <w:sz w:val="24"/>
          <w:szCs w:val="24"/>
          <w:bdr w:val="none" w:color="auto" w:sz="0" w:space="0"/>
          <w:shd w:val="clear" w:fill="FFFFFF"/>
        </w:rPr>
        <w:t>43号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《普通高等学校辅导员队伍建设规定》已于2017年8月31日经教育部2017年第32次部长办公会议修订通过。现将修订后的 《普通高等学校辅导员队伍建设规定》公布，自2017年10月1 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教育部部长 陈宝生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2017年9月21日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普通高等学校辅导员队伍建设规定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第二条　辅导员是开展大学生思想政治教育的骨干力量，是高等学校学生日常思想政治教育和管理工作的组织者、实施者、指导者。辅导员应当努力成为学生成长成才的人生导师和健康生活的知心朋友。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第二章　要求与职责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第五条　辅导员的主要工作职责是：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（二）党团和班级建设。开展学生骨干的遴选、培养、激励工作，开展学生入党积极分子培养教育工作，开展学生党员发展和教育管理服务工作，指导学生党支部和班团组织建设。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（三）学风建设。熟悉了解学生所学专业的基本情况，激发学生学习兴趣，引导学生养成良好的学习习惯，掌握正确的学习方法。指导学生开展课外科技学术实践活动，营造浓厚学习氛围。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（五）心理健康教育与咨询工作。协助学校心理健康教育机构开展心理健康教育，对学生心理问题进行初步排查和疏导，组织开展心理健康知识普及宣传活动，培育学生理性平和、乐观向上的健康心态。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（八）职业规划与就业创业指导。为学生提供科学的职业生涯规划和就业指导以及相关服务，帮助学生树立正确的就业观念，引导学生到基层、到西部、到祖国最需要的地方建功立业。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（九）理论和实践研究。努力学习思想政治教育的基本理论和相关学科知识，参加相关学科领域学术交流活动，参与校内外思想政治教育课题或项目研究。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第三章　配备与选聘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第六条　高等学校应当按总体上师生比不低于1:200的比例设置专职辅导员岗位，按照专兼结合、以专为主的原则，足额配备到位。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高等学校可以从优秀专任教师、管理人员、研究生中选聘一定数量兼职辅导员。兼职辅导员工作量按专职辅导员工作量的三分之一核定。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第七条　辅导员应当符合以下基本条件：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（一）具有较高的政治素质和坚定的理想信念，坚决贯彻执行党的基本路线和各项方针政策，有较强的政治敏感性和政治辨别力；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（二）具备本科以上学历，热爱大学生思想政治教育事业，甘于奉献，潜心育人，具有强烈的事业心和责任感；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（四）具备较强的组织管理能力和语言、文字表达能力，及教育引导能力、调查研究能力，具备开展思想理论教育和价值引领工作的能力；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（五）具有较强的纪律观念和规矩意识，遵纪守法，为人正直，作风正派，廉洁自律。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第九条　青年教师晋升高一级专业技术职务（职称），须有至少一年担任辅导员或班主任工作经历并考核合格。高等学校要鼓励新入职教师以多种形式参与辅导员或班主任工作。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 xml:space="preserve">第四章　发展与培训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第十条　高等学校应当制定专门办法和激励保障机制，落实专职辅导员职务职级“双线”晋升要求，推动辅导员队伍专业化职业化建设。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第十一条　高等学校应当结合实际，按专任教师职务岗位结构比例合理设置专职辅导员的相应教师职务岗位，专职辅导员可按教师职务（职称）要求评聘思想政治教育学科或其他相关学科的专业技术职务（职称）。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专职辅导员专业技术职务（职称）评聘应更加注重考察工作业绩和育人实效，单列计划、单设标准、单独评审。将优秀网络文化成果纳入专职辅导员的科研成果统计、职务（职称）评聘范围。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第十三条　高等学校应当制定辅导员管理岗位聘任办法，根据辅导员的任职年限及实际工作表现，确定相应级别的管理岗位等级。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第十四条　辅导员培训应当纳入高等学校师资队伍和干部队伍培训整体规划。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第十六条　高等学校要积极为辅导员的工作和生活创造便利条件，应根据辅导员的工作特点，在岗位津贴、办公条件、通讯经费等方面制定相关政策，为辅导员的工作和生活提供必要保障。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 xml:space="preserve">第五章　管理与考核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第十七条　高等学校辅导员实行学校和院（系）双重管理。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学生工作部门牵头负责辅导员的培养、培训和考核等工作，同时要与院（系）党委（党总支）共同做好辅导员日常管理工作。院（系）党委（党总支）负责对辅导员进行直接领导和管理。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auto"/>
          <w:sz w:val="24"/>
          <w:szCs w:val="24"/>
        </w:rPr>
      </w:pPr>
      <w:r>
        <w:rPr>
          <w:rStyle w:val="5"/>
          <w:rFonts w:hint="eastAsia" w:ascii="微软雅黑" w:hAnsi="微软雅黑" w:eastAsia="微软雅黑" w:cs="微软雅黑"/>
          <w:color w:val="auto"/>
          <w:sz w:val="24"/>
          <w:szCs w:val="24"/>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第二十条　本规定适用于普通高等学校辅导员队伍建设。其他类型高等学校的辅导员队伍建设或思想政治工作其他队伍建设可以参照本规定执行。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第二十一条　高等学校要根据本规定，结合实际制定相关实施细则，并报主管教育部门备案。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bdr w:val="none" w:color="auto" w:sz="0" w:space="0"/>
          <w:shd w:val="clear" w:fill="FFFFFF"/>
        </w:rPr>
        <w:t>　　第二十二条　本规定自2017年10月1日起施行。原《普通高等学校辅导员队伍建设规定》同时废止。</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A4BBF"/>
    <w:rsid w:val="50DA4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2017-10-10T01:14:00Z</dcterms:created>
  <dc:creator>孙家峰</dc:creator>
  <cp:lastModifiedBy>孙家峰</cp:lastModifiedBy>
  <dcterms:modified xsi:type="dcterms:W3CDTF">2017-10-10T01:15:44Z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